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1F8" w:rsidRDefault="005F51F8" w:rsidP="00F37187">
      <w:pPr>
        <w:spacing w:after="0" w:line="360" w:lineRule="auto"/>
        <w:jc w:val="center"/>
        <w:rPr>
          <w:rStyle w:val="font11"/>
          <w:rFonts w:ascii="Times New Roman" w:hAnsi="Times New Roman" w:cs="Times New Roman" w:hint="eastAsia"/>
          <w:bCs w:val="0"/>
          <w:color w:val="000000"/>
          <w:sz w:val="32"/>
        </w:rPr>
      </w:pPr>
    </w:p>
    <w:p w:rsidR="005F51F8" w:rsidRDefault="00F37187" w:rsidP="00F37187">
      <w:pPr>
        <w:spacing w:after="0" w:line="360" w:lineRule="auto"/>
        <w:jc w:val="center"/>
        <w:rPr>
          <w:rStyle w:val="font11"/>
          <w:rFonts w:ascii="Times New Roman" w:hAnsi="Times New Roman" w:cs="Times New Roman" w:hint="eastAsia"/>
          <w:bCs w:val="0"/>
          <w:color w:val="000000"/>
          <w:sz w:val="32"/>
        </w:rPr>
      </w:pPr>
      <w:r w:rsidRPr="00F37187">
        <w:rPr>
          <w:rStyle w:val="font11"/>
          <w:rFonts w:ascii="Times New Roman" w:hAnsi="Times New Roman" w:cs="Times New Roman"/>
          <w:bCs w:val="0"/>
          <w:color w:val="000000"/>
          <w:sz w:val="32"/>
        </w:rPr>
        <w:t>Training plan of majors related to mechanical</w:t>
      </w:r>
    </w:p>
    <w:p w:rsidR="00F37187" w:rsidRPr="00F37187" w:rsidRDefault="00F37187" w:rsidP="00F37187">
      <w:pPr>
        <w:spacing w:after="0" w:line="360" w:lineRule="auto"/>
        <w:jc w:val="center"/>
        <w:rPr>
          <w:rStyle w:val="font11"/>
          <w:rFonts w:ascii="Times New Roman" w:hAnsi="Times New Roman" w:cs="Times New Roman"/>
          <w:bCs w:val="0"/>
          <w:color w:val="000000"/>
          <w:sz w:val="32"/>
        </w:rPr>
      </w:pPr>
      <w:r w:rsidRPr="00F37187">
        <w:rPr>
          <w:rStyle w:val="font11"/>
          <w:rFonts w:ascii="Times New Roman" w:hAnsi="Times New Roman" w:cs="Times New Roman"/>
          <w:bCs w:val="0"/>
          <w:color w:val="000000"/>
          <w:sz w:val="32"/>
        </w:rPr>
        <w:t xml:space="preserve"> and power engineering</w:t>
      </w:r>
    </w:p>
    <w:p w:rsidR="00F37187" w:rsidRPr="00F37187" w:rsidRDefault="00F37187" w:rsidP="00F37187">
      <w:pPr>
        <w:spacing w:before="120" w:after="120" w:line="360" w:lineRule="auto"/>
        <w:jc w:val="both"/>
        <w:rPr>
          <w:rFonts w:ascii="Times New Roman" w:hAnsi="Times New Roman" w:cs="Times New Roman"/>
          <w:b/>
        </w:rPr>
      </w:pPr>
      <w:r w:rsidRPr="00F37187">
        <w:rPr>
          <w:rFonts w:ascii="Times New Roman" w:hAnsi="Times New Roman" w:cs="Times New Roman" w:hint="eastAsia"/>
          <w:b/>
        </w:rPr>
        <w:t>1.</w:t>
      </w:r>
      <w:r w:rsidRPr="00F37187">
        <w:rPr>
          <w:rFonts w:ascii="Times New Roman" w:hAnsi="Times New Roman" w:cs="Times New Roman"/>
          <w:b/>
        </w:rPr>
        <w:t xml:space="preserve"> Objectives</w:t>
      </w:r>
      <w:r w:rsidRPr="00F37187">
        <w:rPr>
          <w:rFonts w:ascii="Times New Roman" w:hAnsi="Times New Roman" w:cs="Times New Roman"/>
          <w:b/>
        </w:rPr>
        <w:t>、</w:t>
      </w:r>
      <w:r w:rsidRPr="00F37187">
        <w:rPr>
          <w:rFonts w:ascii="Times New Roman" w:hAnsi="Times New Roman" w:cs="Times New Roman"/>
          <w:b/>
        </w:rPr>
        <w:t>International Certification Standards</w:t>
      </w:r>
    </w:p>
    <w:p w:rsidR="00F37187" w:rsidRPr="00F37187" w:rsidRDefault="00F37187" w:rsidP="00F37187">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Pr="00F37187">
        <w:rPr>
          <w:rFonts w:ascii="Times New Roman" w:hAnsi="Times New Roman" w:cs="Times New Roman"/>
          <w:sz w:val="24"/>
        </w:rPr>
        <w:t>To cultivate high-level engineering and technical students who  know China, are friendly to China, and meet the international certification standards, students who have a solid foundation in natural science and broad mechanical and power professional knowledge, and have a strong international vision, practical ability, innovative consciousness, team spirit and good communication skills, students who have a good humanities and social science literacy, a strong sense of social responsibility, good professional ethics, and students who are familiar with international rules and can be engaged in product R &amp; D, design, manufacturing, project management and other work in related fields.</w:t>
      </w:r>
    </w:p>
    <w:p w:rsidR="00F37187" w:rsidRPr="00F37187" w:rsidRDefault="00F37187" w:rsidP="00F37187">
      <w:pPr>
        <w:spacing w:before="120" w:after="120" w:line="360" w:lineRule="auto"/>
        <w:jc w:val="both"/>
        <w:rPr>
          <w:rFonts w:ascii="Times New Roman" w:hAnsi="Times New Roman" w:cs="Times New Roman"/>
          <w:b/>
        </w:rPr>
      </w:pPr>
      <w:r w:rsidRPr="00F37187">
        <w:rPr>
          <w:rFonts w:ascii="Times New Roman" w:hAnsi="Times New Roman" w:cs="Times New Roman"/>
          <w:b/>
        </w:rPr>
        <w:t xml:space="preserve">2. </w:t>
      </w:r>
      <w:r w:rsidRPr="00F37187">
        <w:rPr>
          <w:rFonts w:ascii="Times New Roman" w:hAnsi="Times New Roman" w:cs="Times New Roman" w:hint="eastAsia"/>
          <w:b/>
        </w:rPr>
        <w:t xml:space="preserve">Graduation </w:t>
      </w:r>
      <w:r w:rsidRPr="00F37187">
        <w:rPr>
          <w:rFonts w:ascii="Times New Roman" w:hAnsi="Times New Roman" w:cs="Times New Roman"/>
          <w:b/>
        </w:rPr>
        <w:t>Requirements</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1-Engineering knowledge: Be able to apply mathematics, natural sciences, fundamental and professional knowledge of engineering to complex engineering problems in the field of mechanical power industries;</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2-Problem analysis: Be able to apply fundamental principles of mathematics, natural and engineering sciences to identify, deliver and conduct literature review on related complex engineering problems, and to reach valid conclusions;</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3-Design/develop solutions: Be able to design solutions to complex engineering problems in the field of mechanical power industries, and to design systems, units (components) or processes that meet the requirements of specific mechanical products, and to reflect the innovation awareness in the design process, taking into account the social, health, safety, legal, cultural and environmental factors;</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4-Research: Be able to conduct research on complex engineering problems in the field of mechanical power industries based on scientific principles and using scientific methods, including designing experiments, analysing and interpreting data, and synthesizing information, and to obtain reasonable and valid conclusions;</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 xml:space="preserve">Graduation Requirement 5-Use of Modern tools: Be able to develop, select and use appropriate technologies, resources, modern engineering tools and information technology tools for complex engineering problems in the field of mechanical power industries, including </w:t>
      </w:r>
      <w:r w:rsidRPr="00F37187">
        <w:rPr>
          <w:rFonts w:ascii="Times New Roman" w:hAnsi="Times New Roman" w:cs="Times New Roman"/>
          <w:color w:val="000000" w:themeColor="text1"/>
        </w:rPr>
        <w:lastRenderedPageBreak/>
        <w:t>prediction and simulation of complex engineering problems, and to understand the related limitations;</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6-Engineering and Society: Be able to perform reasonable analyses based on relevant background knowledge of the mechanical power industries, and to evaluate the impacts of the engineering practices and the solutions to complex engineering problems on the society, health, safety, legislation and culture, and to understand the responsibilities to be assumed.</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7-Environment and Sustainable development: Be able to understand and evaluate the impacts of engineering practices that address complex engineering problems related to mechanical, power and material systems on the environmental and social sustainable development;</w:t>
      </w:r>
    </w:p>
    <w:p w:rsidR="00F37187" w:rsidRPr="00F37187" w:rsidRDefault="00F37187" w:rsidP="00F37187">
      <w:pPr>
        <w:snapToGrid w:val="0"/>
        <w:spacing w:after="0" w:line="360" w:lineRule="auto"/>
        <w:ind w:firstLine="48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8-Professional norms: To possess humanities and social science literacy as well as social responsibility, and to be able to understand and comply with the professional ethics and norms of mechanical engineering in practices related to the mechanical power industries, and to fulfil responsibilities;</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9-Individual and Team: Be able to assume the role of an individual, a team member and the leader in the international team of mechanical power that integrates multi-disciplinary knowledge of mechanics, material science, electromechanical control technology, electronics, testing technology, computer technology, etc.;</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10-Communication: Loving Chinese culture, and being familiar with the norms of both the Chinese and international industries, and being able to effectively communicate and interact with the industry peers and the public on complex engineering issues in the field of mechanical power, including writing reports, designing manuscripts, presenting speeches, and clearly articulating or responding to instructions. To have an international perspective and also to have the ability to communicate and interact in a cross-cultural context;</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11-Project management: Be able to understand and master the principles of engineering management and the methods of economic decision-making in the field of mechanical power, as well as applying the related knowledge in a multi-disciplinary environment;</w:t>
      </w:r>
    </w:p>
    <w:p w:rsidR="00F37187" w:rsidRPr="00F37187" w:rsidRDefault="00F37187" w:rsidP="00F37187">
      <w:pPr>
        <w:spacing w:after="0" w:line="360" w:lineRule="auto"/>
        <w:ind w:firstLineChars="200" w:firstLine="440"/>
        <w:jc w:val="both"/>
        <w:rPr>
          <w:rFonts w:ascii="Times New Roman" w:hAnsi="Times New Roman" w:cs="Times New Roman"/>
          <w:color w:val="000000" w:themeColor="text1"/>
        </w:rPr>
      </w:pPr>
      <w:r w:rsidRPr="00F37187">
        <w:rPr>
          <w:rFonts w:ascii="Times New Roman" w:hAnsi="Times New Roman" w:cs="Times New Roman"/>
          <w:color w:val="000000" w:themeColor="text1"/>
        </w:rPr>
        <w:t>Graduation Requirement 12-Lifelong learning: To have the awareness of self-directed and lifelong learning, and to have the ability to continuously learn and adapt to development.</w:t>
      </w:r>
    </w:p>
    <w:p w:rsidR="00797C76" w:rsidRPr="00F37187" w:rsidRDefault="002B432E" w:rsidP="00F37187">
      <w:pPr>
        <w:spacing w:before="120" w:after="120" w:line="360" w:lineRule="auto"/>
        <w:jc w:val="both"/>
        <w:rPr>
          <w:rFonts w:ascii="Times New Roman" w:hAnsi="Times New Roman" w:cs="Times New Roman"/>
          <w:b/>
        </w:rPr>
      </w:pPr>
      <w:r w:rsidRPr="00F37187">
        <w:rPr>
          <w:rFonts w:ascii="Times New Roman" w:hAnsi="Times New Roman" w:cs="Times New Roman"/>
          <w:b/>
        </w:rPr>
        <w:t>3. Majors (including discipline fields, major category, major name and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04"/>
        <w:gridCol w:w="4579"/>
        <w:gridCol w:w="1170"/>
      </w:tblGrid>
      <w:tr w:rsidR="002B432E" w:rsidRPr="00F37187" w:rsidTr="002B432E">
        <w:trPr>
          <w:trHeight w:val="677"/>
        </w:trPr>
        <w:tc>
          <w:tcPr>
            <w:tcW w:w="1243"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rPr>
              <w:t>Discipline fields</w:t>
            </w:r>
          </w:p>
        </w:tc>
        <w:tc>
          <w:tcPr>
            <w:tcW w:w="1304"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rPr>
              <w:t>Major category</w:t>
            </w:r>
          </w:p>
        </w:tc>
        <w:tc>
          <w:tcPr>
            <w:tcW w:w="4579"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rPr>
              <w:t>Major name</w:t>
            </w:r>
          </w:p>
        </w:tc>
        <w:tc>
          <w:tcPr>
            <w:tcW w:w="1170"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rPr>
              <w:t>Major code</w:t>
            </w:r>
          </w:p>
        </w:tc>
      </w:tr>
      <w:tr w:rsidR="002B432E" w:rsidRPr="00F37187" w:rsidTr="002B432E">
        <w:tc>
          <w:tcPr>
            <w:tcW w:w="1243"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t>Engineering</w:t>
            </w:r>
          </w:p>
        </w:tc>
        <w:tc>
          <w:tcPr>
            <w:tcW w:w="1304"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t>Machinery</w:t>
            </w:r>
          </w:p>
        </w:tc>
        <w:tc>
          <w:tcPr>
            <w:tcW w:w="4579"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szCs w:val="21"/>
              </w:rPr>
              <w:t>Mechanical Manufacturing and Automation</w:t>
            </w:r>
          </w:p>
        </w:tc>
        <w:tc>
          <w:tcPr>
            <w:tcW w:w="1170"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szCs w:val="21"/>
              </w:rPr>
              <w:t>080202</w:t>
            </w:r>
          </w:p>
        </w:tc>
      </w:tr>
      <w:tr w:rsidR="002B432E" w:rsidRPr="00F37187" w:rsidTr="002B432E">
        <w:tc>
          <w:tcPr>
            <w:tcW w:w="1243"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lastRenderedPageBreak/>
              <w:t>Engineering</w:t>
            </w:r>
          </w:p>
        </w:tc>
        <w:tc>
          <w:tcPr>
            <w:tcW w:w="1304"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t>Energy and Power</w:t>
            </w:r>
          </w:p>
        </w:tc>
        <w:tc>
          <w:tcPr>
            <w:tcW w:w="4579"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t>Energy and Power Engineering (Fluid Machinery and Its Automatic Control)</w:t>
            </w:r>
          </w:p>
        </w:tc>
        <w:tc>
          <w:tcPr>
            <w:tcW w:w="1170"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t>080501</w:t>
            </w:r>
          </w:p>
        </w:tc>
      </w:tr>
      <w:tr w:rsidR="002B432E" w:rsidRPr="00F37187" w:rsidTr="002B432E">
        <w:tc>
          <w:tcPr>
            <w:tcW w:w="1243"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t>Engineering</w:t>
            </w:r>
          </w:p>
        </w:tc>
        <w:tc>
          <w:tcPr>
            <w:tcW w:w="1304"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Style w:val="font11"/>
                <w:rFonts w:ascii="Times New Roman" w:hAnsi="Times New Roman" w:cs="Times New Roman"/>
                <w:b w:val="0"/>
                <w:bCs w:val="0"/>
                <w:color w:val="000000"/>
              </w:rPr>
              <w:t>Materials</w:t>
            </w:r>
          </w:p>
        </w:tc>
        <w:tc>
          <w:tcPr>
            <w:tcW w:w="4579"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szCs w:val="21"/>
              </w:rPr>
              <w:t>Materials Science and Engineering</w:t>
            </w:r>
          </w:p>
        </w:tc>
        <w:tc>
          <w:tcPr>
            <w:tcW w:w="1170" w:type="dxa"/>
            <w:shd w:val="clear" w:color="auto" w:fill="auto"/>
            <w:vAlign w:val="center"/>
          </w:tcPr>
          <w:p w:rsidR="002B432E" w:rsidRPr="00F37187" w:rsidRDefault="002B432E" w:rsidP="00F37187">
            <w:pPr>
              <w:spacing w:after="0" w:line="360" w:lineRule="auto"/>
              <w:jc w:val="both"/>
              <w:rPr>
                <w:rStyle w:val="font11"/>
                <w:rFonts w:ascii="Times New Roman" w:hAnsi="Times New Roman" w:cs="Times New Roman"/>
                <w:b w:val="0"/>
                <w:bCs w:val="0"/>
                <w:color w:val="000000"/>
              </w:rPr>
            </w:pPr>
            <w:r w:rsidRPr="00F37187">
              <w:rPr>
                <w:rFonts w:ascii="Times New Roman" w:hAnsi="Times New Roman" w:cs="Times New Roman"/>
                <w:szCs w:val="21"/>
              </w:rPr>
              <w:t>080401</w:t>
            </w:r>
          </w:p>
        </w:tc>
      </w:tr>
    </w:tbl>
    <w:p w:rsidR="002B432E" w:rsidRPr="00F37187" w:rsidRDefault="002B432E" w:rsidP="00F37187">
      <w:pPr>
        <w:spacing w:before="120" w:after="120" w:line="360" w:lineRule="auto"/>
        <w:jc w:val="both"/>
        <w:rPr>
          <w:rFonts w:ascii="Times New Roman" w:hAnsi="Times New Roman" w:cs="Times New Roman"/>
          <w:b/>
        </w:rPr>
      </w:pPr>
      <w:r w:rsidRPr="00F37187">
        <w:rPr>
          <w:rFonts w:ascii="Times New Roman" w:hAnsi="Times New Roman" w:cs="Times New Roman"/>
          <w:b/>
        </w:rPr>
        <w:t>4. Training System and Course Module</w:t>
      </w:r>
    </w:p>
    <w:p w:rsidR="002B432E" w:rsidRPr="00D6546A" w:rsidRDefault="002B432E" w:rsidP="00F37187">
      <w:pPr>
        <w:spacing w:after="0" w:line="360" w:lineRule="auto"/>
        <w:jc w:val="both"/>
        <w:rPr>
          <w:rFonts w:ascii="Times New Roman" w:hAnsi="Times New Roman" w:cs="Times New Roman"/>
          <w:b/>
        </w:rPr>
      </w:pPr>
      <w:r w:rsidRPr="00D6546A">
        <w:rPr>
          <w:rFonts w:ascii="Times New Roman" w:hAnsi="Times New Roman" w:cs="Times New Roman"/>
          <w:b/>
        </w:rPr>
        <w:t>1) Course System</w:t>
      </w:r>
    </w:p>
    <w:p w:rsidR="002B432E" w:rsidRPr="00F37187" w:rsidRDefault="002B432E" w:rsidP="00F37187">
      <w:pPr>
        <w:spacing w:after="0" w:line="360" w:lineRule="auto"/>
        <w:jc w:val="both"/>
        <w:rPr>
          <w:rFonts w:ascii="Times New Roman" w:hAnsi="Times New Roman" w:cs="Times New Roman"/>
        </w:rPr>
      </w:pPr>
      <w:r w:rsidRPr="00F37187">
        <w:rPr>
          <w:rFonts w:ascii="Times New Roman" w:hAnsi="Times New Roman" w:cs="Times New Roman"/>
        </w:rPr>
        <w:t xml:space="preserve">      It consists of general education courses, </w:t>
      </w:r>
      <w:r w:rsidR="0043352E" w:rsidRPr="00F37187">
        <w:rPr>
          <w:rFonts w:ascii="Times New Roman" w:hAnsi="Times New Roman" w:cs="Times New Roman"/>
        </w:rPr>
        <w:t>basic courses in general discipline</w:t>
      </w:r>
      <w:r w:rsidRPr="00F37187">
        <w:rPr>
          <w:rFonts w:ascii="Times New Roman" w:hAnsi="Times New Roman" w:cs="Times New Roman"/>
        </w:rPr>
        <w:t xml:space="preserve">, professional courses, </w:t>
      </w:r>
      <w:r w:rsidR="00F37187" w:rsidRPr="00F37187">
        <w:rPr>
          <w:rFonts w:ascii="Times New Roman" w:hAnsi="Times New Roman" w:cs="Times New Roman"/>
        </w:rPr>
        <w:t>and elective</w:t>
      </w:r>
      <w:r w:rsidRPr="00F37187">
        <w:rPr>
          <w:rFonts w:ascii="Times New Roman" w:hAnsi="Times New Roman" w:cs="Times New Roman"/>
        </w:rPr>
        <w:t xml:space="preserve"> courses of independent research and study, and practice modules.</w:t>
      </w:r>
      <w:r w:rsidR="0043352E" w:rsidRPr="00F37187">
        <w:rPr>
          <w:rFonts w:ascii="Times New Roman" w:hAnsi="Times New Roman" w:cs="Times New Roman"/>
        </w:rPr>
        <w:t xml:space="preserve"> Specific credits and class hours are arranged as follows:</w:t>
      </w:r>
    </w:p>
    <w:p w:rsidR="00F37187" w:rsidRPr="00F37187" w:rsidRDefault="00D6546A" w:rsidP="00D6546A">
      <w:pPr>
        <w:widowControl w:val="0"/>
        <w:spacing w:after="0" w:line="360" w:lineRule="auto"/>
        <w:jc w:val="both"/>
        <w:rPr>
          <w:rStyle w:val="font11"/>
          <w:rFonts w:ascii="Times New Roman" w:hAnsi="Times New Roman" w:cs="Times New Roman"/>
          <w:b w:val="0"/>
          <w:color w:val="000000"/>
          <w:sz w:val="24"/>
        </w:rPr>
      </w:pPr>
      <w:r>
        <w:rPr>
          <w:rStyle w:val="font11"/>
          <w:rFonts w:ascii="Times New Roman" w:hAnsi="Times New Roman" w:cs="Times New Roman"/>
          <w:b w:val="0"/>
          <w:bCs w:val="0"/>
          <w:color w:val="000000"/>
          <w:sz w:val="24"/>
        </w:rPr>
        <w:t xml:space="preserve">(1) </w:t>
      </w:r>
      <w:r w:rsidR="00F37187" w:rsidRPr="00F37187">
        <w:rPr>
          <w:rStyle w:val="font11"/>
          <w:rFonts w:ascii="Times New Roman" w:hAnsi="Times New Roman" w:cs="Times New Roman"/>
          <w:b w:val="0"/>
          <w:bCs w:val="0"/>
          <w:color w:val="000000"/>
          <w:sz w:val="24"/>
        </w:rPr>
        <w:t>62.5 credits for general education courses, including 56.5 credits for compulsory courses and 6 credits for elective courses.</w:t>
      </w:r>
    </w:p>
    <w:p w:rsidR="00F37187" w:rsidRPr="00F37187" w:rsidRDefault="00D6546A" w:rsidP="00D6546A">
      <w:pPr>
        <w:widowControl w:val="0"/>
        <w:spacing w:after="0" w:line="360" w:lineRule="auto"/>
        <w:jc w:val="both"/>
        <w:rPr>
          <w:rStyle w:val="font11"/>
          <w:rFonts w:ascii="Times New Roman" w:hAnsi="Times New Roman" w:cs="Times New Roman"/>
          <w:b w:val="0"/>
          <w:color w:val="000000"/>
          <w:sz w:val="24"/>
        </w:rPr>
      </w:pPr>
      <w:r>
        <w:rPr>
          <w:rStyle w:val="font11"/>
          <w:rFonts w:ascii="Times New Roman" w:hAnsi="Times New Roman" w:cs="Times New Roman"/>
          <w:b w:val="0"/>
          <w:bCs w:val="0"/>
          <w:color w:val="000000"/>
          <w:sz w:val="24"/>
        </w:rPr>
        <w:t xml:space="preserve">(2) </w:t>
      </w:r>
      <w:r w:rsidR="00F37187" w:rsidRPr="00F37187">
        <w:rPr>
          <w:rStyle w:val="font11"/>
          <w:rFonts w:ascii="Times New Roman" w:hAnsi="Times New Roman" w:cs="Times New Roman"/>
          <w:b w:val="0"/>
          <w:bCs w:val="0"/>
          <w:color w:val="000000"/>
          <w:sz w:val="24"/>
        </w:rPr>
        <w:t>37.5 credits for major basic courses, including 37.5 credits for compulsory courses.</w:t>
      </w:r>
    </w:p>
    <w:p w:rsidR="00F37187" w:rsidRPr="00F37187" w:rsidRDefault="00D6546A" w:rsidP="00D6546A">
      <w:pPr>
        <w:widowControl w:val="0"/>
        <w:spacing w:after="0" w:line="360" w:lineRule="auto"/>
        <w:jc w:val="both"/>
        <w:rPr>
          <w:rStyle w:val="font11"/>
          <w:rFonts w:ascii="Times New Roman" w:hAnsi="Times New Roman" w:cs="Times New Roman"/>
          <w:b w:val="0"/>
          <w:color w:val="000000"/>
          <w:sz w:val="24"/>
        </w:rPr>
      </w:pPr>
      <w:r>
        <w:rPr>
          <w:rStyle w:val="font11"/>
          <w:rFonts w:ascii="Times New Roman" w:hAnsi="Times New Roman" w:cs="Times New Roman"/>
          <w:b w:val="0"/>
          <w:bCs w:val="0"/>
          <w:color w:val="000000"/>
          <w:sz w:val="24"/>
        </w:rPr>
        <w:t xml:space="preserve">(3) </w:t>
      </w:r>
      <w:r w:rsidR="00F37187" w:rsidRPr="00F37187">
        <w:rPr>
          <w:rStyle w:val="font11"/>
          <w:rFonts w:ascii="Times New Roman" w:hAnsi="Times New Roman" w:cs="Times New Roman"/>
          <w:b w:val="0"/>
          <w:bCs w:val="0"/>
          <w:color w:val="000000"/>
          <w:sz w:val="24"/>
        </w:rPr>
        <w:t>20 credits for professional courses, including 14 credits for compulsory courses and 6 credits for elective courses.</w:t>
      </w:r>
    </w:p>
    <w:p w:rsidR="00F37187" w:rsidRPr="00F37187" w:rsidRDefault="00D6546A" w:rsidP="00D6546A">
      <w:pPr>
        <w:widowControl w:val="0"/>
        <w:spacing w:after="0" w:line="360" w:lineRule="auto"/>
        <w:jc w:val="both"/>
        <w:rPr>
          <w:rStyle w:val="font11"/>
          <w:rFonts w:ascii="Times New Roman" w:hAnsi="Times New Roman" w:cs="Times New Roman"/>
          <w:b w:val="0"/>
          <w:color w:val="000000"/>
          <w:sz w:val="24"/>
        </w:rPr>
      </w:pPr>
      <w:r>
        <w:rPr>
          <w:rStyle w:val="font11"/>
          <w:rFonts w:ascii="Times New Roman" w:hAnsi="Times New Roman" w:cs="Times New Roman"/>
          <w:b w:val="0"/>
          <w:bCs w:val="0"/>
          <w:color w:val="000000"/>
          <w:sz w:val="24"/>
        </w:rPr>
        <w:t xml:space="preserve">(4) </w:t>
      </w:r>
      <w:r w:rsidR="00F37187" w:rsidRPr="00F37187">
        <w:rPr>
          <w:rStyle w:val="font11"/>
          <w:rFonts w:ascii="Times New Roman" w:hAnsi="Times New Roman" w:cs="Times New Roman"/>
          <w:b w:val="0"/>
          <w:bCs w:val="0"/>
          <w:color w:val="000000"/>
          <w:sz w:val="24"/>
        </w:rPr>
        <w:t>15 credits for self-study courses: including three modules: advanced professional courses, interdisciplinary courses, and advanced Chinese courses.</w:t>
      </w:r>
    </w:p>
    <w:p w:rsidR="00F37187" w:rsidRPr="00F37187" w:rsidRDefault="00D6546A" w:rsidP="00D6546A">
      <w:pPr>
        <w:widowControl w:val="0"/>
        <w:spacing w:after="0" w:line="360" w:lineRule="auto"/>
        <w:jc w:val="both"/>
        <w:rPr>
          <w:rStyle w:val="font11"/>
          <w:rFonts w:ascii="Times New Roman" w:hAnsi="Times New Roman" w:cs="Times New Roman"/>
          <w:b w:val="0"/>
          <w:color w:val="000000"/>
          <w:sz w:val="24"/>
        </w:rPr>
      </w:pPr>
      <w:r>
        <w:rPr>
          <w:rStyle w:val="font11"/>
          <w:rFonts w:ascii="Times New Roman" w:hAnsi="Times New Roman" w:cs="Times New Roman"/>
          <w:b w:val="0"/>
          <w:bCs w:val="0"/>
          <w:color w:val="000000"/>
          <w:sz w:val="24"/>
        </w:rPr>
        <w:t xml:space="preserve">(5) </w:t>
      </w:r>
      <w:r w:rsidR="00F37187" w:rsidRPr="00F37187">
        <w:rPr>
          <w:rStyle w:val="font11"/>
          <w:rFonts w:ascii="Times New Roman" w:hAnsi="Times New Roman" w:cs="Times New Roman"/>
          <w:b w:val="0"/>
          <w:bCs w:val="0"/>
          <w:color w:val="000000"/>
          <w:sz w:val="24"/>
        </w:rPr>
        <w:t>6 credits for quality development: including academic seminars, salons and club activities, social practice and voluntary public service, scientific research and innovation competitions, and innovation courses.</w:t>
      </w:r>
    </w:p>
    <w:p w:rsidR="00F37187" w:rsidRPr="00F37187" w:rsidRDefault="00D6546A" w:rsidP="00D6546A">
      <w:pPr>
        <w:widowControl w:val="0"/>
        <w:spacing w:after="0" w:line="360" w:lineRule="auto"/>
        <w:jc w:val="both"/>
        <w:rPr>
          <w:rStyle w:val="font11"/>
          <w:rFonts w:ascii="Times New Roman" w:hAnsi="Times New Roman" w:cs="Times New Roman"/>
          <w:b w:val="0"/>
          <w:color w:val="000000"/>
          <w:sz w:val="24"/>
        </w:rPr>
      </w:pPr>
      <w:r>
        <w:rPr>
          <w:rStyle w:val="font11"/>
          <w:rFonts w:ascii="Times New Roman" w:hAnsi="Times New Roman" w:cs="Times New Roman"/>
          <w:b w:val="0"/>
          <w:bCs w:val="0"/>
          <w:color w:val="000000"/>
          <w:sz w:val="24"/>
        </w:rPr>
        <w:t xml:space="preserve">(6) </w:t>
      </w:r>
      <w:r w:rsidR="00F37187" w:rsidRPr="00F37187">
        <w:rPr>
          <w:rStyle w:val="font11"/>
          <w:rFonts w:ascii="Times New Roman" w:hAnsi="Times New Roman" w:cs="Times New Roman"/>
          <w:b w:val="0"/>
          <w:bCs w:val="0"/>
          <w:color w:val="000000"/>
          <w:sz w:val="24"/>
        </w:rPr>
        <w:t>37 credits for practical links: including basic engineering training, curriculum design, professional comprehensive practice, production practice and graduation design (thesis).</w:t>
      </w:r>
    </w:p>
    <w:p w:rsidR="00F37187" w:rsidRPr="00D6546A" w:rsidRDefault="00D6546A" w:rsidP="00D6546A">
      <w:pPr>
        <w:widowControl w:val="0"/>
        <w:spacing w:after="0" w:line="360" w:lineRule="auto"/>
        <w:jc w:val="both"/>
        <w:rPr>
          <w:rStyle w:val="font11"/>
          <w:rFonts w:ascii="Times New Roman" w:hAnsi="Times New Roman" w:cs="Times New Roman"/>
          <w:bCs w:val="0"/>
          <w:color w:val="000000"/>
          <w:sz w:val="24"/>
        </w:rPr>
      </w:pPr>
      <w:r>
        <w:rPr>
          <w:rStyle w:val="font11"/>
          <w:rFonts w:ascii="Times New Roman" w:hAnsi="Times New Roman" w:cs="Times New Roman"/>
          <w:color w:val="000000"/>
          <w:sz w:val="24"/>
          <w:lang w:val="en-US"/>
        </w:rPr>
        <w:t xml:space="preserve">2) </w:t>
      </w:r>
      <w:r w:rsidR="00F37187" w:rsidRPr="00D6546A">
        <w:rPr>
          <w:rStyle w:val="font11"/>
          <w:rFonts w:ascii="Times New Roman" w:hAnsi="Times New Roman" w:cs="Times New Roman"/>
          <w:color w:val="000000"/>
          <w:sz w:val="24"/>
          <w:lang w:val="en-US"/>
        </w:rPr>
        <w:t>School-enterprise cooperation training</w:t>
      </w:r>
    </w:p>
    <w:p w:rsidR="00F9213C" w:rsidRDefault="00F37187" w:rsidP="00F9213C">
      <w:pPr>
        <w:spacing w:after="0" w:line="360" w:lineRule="auto"/>
        <w:ind w:firstLineChars="200" w:firstLine="480"/>
        <w:jc w:val="both"/>
        <w:rPr>
          <w:rStyle w:val="font11"/>
          <w:rFonts w:ascii="Times New Roman" w:hAnsi="Times New Roman" w:cs="Times New Roman"/>
          <w:b w:val="0"/>
          <w:color w:val="000000"/>
          <w:sz w:val="24"/>
        </w:rPr>
      </w:pPr>
      <w:r w:rsidRPr="00F37187">
        <w:rPr>
          <w:rStyle w:val="font11"/>
          <w:rFonts w:ascii="Times New Roman" w:hAnsi="Times New Roman" w:cs="Times New Roman"/>
          <w:b w:val="0"/>
          <w:bCs w:val="0"/>
          <w:color w:val="000000"/>
          <w:sz w:val="24"/>
          <w:lang w:val="en-US"/>
        </w:rPr>
        <w:t xml:space="preserve">In </w:t>
      </w:r>
      <w:r w:rsidR="00D6546A">
        <w:rPr>
          <w:rStyle w:val="font11"/>
          <w:rFonts w:ascii="Times New Roman" w:hAnsi="Times New Roman" w:cs="Times New Roman"/>
          <w:b w:val="0"/>
          <w:bCs w:val="0"/>
          <w:color w:val="000000"/>
          <w:sz w:val="24"/>
          <w:lang w:val="en-US"/>
        </w:rPr>
        <w:t xml:space="preserve">regard to </w:t>
      </w:r>
      <w:r w:rsidRPr="00F37187">
        <w:rPr>
          <w:rStyle w:val="font11"/>
          <w:rFonts w:ascii="Times New Roman" w:hAnsi="Times New Roman" w:cs="Times New Roman"/>
          <w:b w:val="0"/>
          <w:bCs w:val="0"/>
          <w:color w:val="000000"/>
          <w:sz w:val="24"/>
          <w:lang w:val="en-US"/>
        </w:rPr>
        <w:t>the engineering training, curriculum design, professional comprehensive practice, production practice</w:t>
      </w:r>
      <w:r w:rsidR="00D6546A">
        <w:rPr>
          <w:rStyle w:val="font11"/>
          <w:rFonts w:ascii="Times New Roman" w:hAnsi="Times New Roman" w:cs="Times New Roman"/>
          <w:b w:val="0"/>
          <w:bCs w:val="0"/>
          <w:color w:val="000000"/>
          <w:sz w:val="24"/>
          <w:lang w:val="en-US"/>
        </w:rPr>
        <w:t xml:space="preserve"> and</w:t>
      </w:r>
      <w:r w:rsidRPr="00F37187">
        <w:rPr>
          <w:rStyle w:val="font11"/>
          <w:rFonts w:ascii="Times New Roman" w:hAnsi="Times New Roman" w:cs="Times New Roman"/>
          <w:b w:val="0"/>
          <w:bCs w:val="0"/>
          <w:color w:val="000000"/>
          <w:sz w:val="24"/>
          <w:lang w:val="en-US"/>
        </w:rPr>
        <w:t xml:space="preserve"> enterprise practice, </w:t>
      </w:r>
      <w:r w:rsidR="00D6546A">
        <w:rPr>
          <w:rStyle w:val="font11"/>
          <w:rFonts w:ascii="Times New Roman" w:hAnsi="Times New Roman" w:cs="Times New Roman"/>
          <w:b w:val="0"/>
          <w:bCs w:val="0"/>
          <w:color w:val="000000"/>
          <w:sz w:val="24"/>
          <w:lang w:val="en-US"/>
        </w:rPr>
        <w:t>s</w:t>
      </w:r>
      <w:r w:rsidR="00D6546A" w:rsidRPr="00D6546A">
        <w:rPr>
          <w:rStyle w:val="font11"/>
          <w:rFonts w:ascii="Times New Roman" w:hAnsi="Times New Roman" w:cs="Times New Roman"/>
          <w:b w:val="0"/>
          <w:bCs w:val="0"/>
          <w:color w:val="000000"/>
          <w:sz w:val="24"/>
          <w:lang w:val="en-US"/>
        </w:rPr>
        <w:t>tudents are required to</w:t>
      </w:r>
      <w:r w:rsidR="00D6546A">
        <w:rPr>
          <w:rStyle w:val="font11"/>
          <w:rFonts w:ascii="Times New Roman" w:hAnsi="Times New Roman" w:cs="Times New Roman"/>
          <w:b w:val="0"/>
          <w:bCs w:val="0"/>
          <w:color w:val="000000"/>
          <w:sz w:val="24"/>
          <w:lang w:val="en-US"/>
        </w:rPr>
        <w:t xml:space="preserve"> </w:t>
      </w:r>
      <w:r w:rsidRPr="00F37187">
        <w:rPr>
          <w:rStyle w:val="font11"/>
          <w:rFonts w:ascii="Times New Roman" w:hAnsi="Times New Roman" w:cs="Times New Roman"/>
          <w:b w:val="0"/>
          <w:bCs w:val="0"/>
          <w:color w:val="000000"/>
          <w:sz w:val="24"/>
          <w:lang w:val="en-US"/>
        </w:rPr>
        <w:t xml:space="preserve">enter the enterprise, and </w:t>
      </w:r>
      <w:r w:rsidR="00D6546A">
        <w:rPr>
          <w:rStyle w:val="font11"/>
          <w:rFonts w:ascii="Times New Roman" w:hAnsi="Times New Roman" w:cs="Times New Roman"/>
          <w:b w:val="0"/>
          <w:bCs w:val="0"/>
          <w:color w:val="000000"/>
          <w:sz w:val="24"/>
          <w:lang w:val="en-US"/>
        </w:rPr>
        <w:t xml:space="preserve">be </w:t>
      </w:r>
      <w:r w:rsidRPr="00F37187">
        <w:rPr>
          <w:rStyle w:val="font11"/>
          <w:rFonts w:ascii="Times New Roman" w:hAnsi="Times New Roman" w:cs="Times New Roman"/>
          <w:b w:val="0"/>
          <w:bCs w:val="0"/>
          <w:color w:val="000000"/>
          <w:sz w:val="24"/>
          <w:lang w:val="en-US"/>
        </w:rPr>
        <w:t>cultivate</w:t>
      </w:r>
      <w:r w:rsidR="00D6546A">
        <w:rPr>
          <w:rStyle w:val="font11"/>
          <w:rFonts w:ascii="Times New Roman" w:hAnsi="Times New Roman" w:cs="Times New Roman"/>
          <w:b w:val="0"/>
          <w:bCs w:val="0"/>
          <w:color w:val="000000"/>
          <w:sz w:val="24"/>
          <w:lang w:val="en-US"/>
        </w:rPr>
        <w:t>d</w:t>
      </w:r>
      <w:r w:rsidRPr="00F37187">
        <w:rPr>
          <w:rStyle w:val="font11"/>
          <w:rFonts w:ascii="Times New Roman" w:hAnsi="Times New Roman" w:cs="Times New Roman"/>
          <w:b w:val="0"/>
          <w:bCs w:val="0"/>
          <w:color w:val="000000"/>
          <w:sz w:val="24"/>
          <w:lang w:val="en-US"/>
        </w:rPr>
        <w:t xml:space="preserve"> together with the enterprise, in the form of the combination of decentralization and integration, to ensure that the time of school enterprise joint training is not less than one year.</w:t>
      </w:r>
    </w:p>
    <w:p w:rsidR="00F37187" w:rsidRPr="00F9213C" w:rsidRDefault="00F9213C" w:rsidP="00F9213C">
      <w:pPr>
        <w:spacing w:before="120" w:after="120" w:line="360" w:lineRule="auto"/>
        <w:jc w:val="both"/>
        <w:rPr>
          <w:rFonts w:ascii="Times New Roman" w:hAnsi="Times New Roman" w:cs="Times New Roman"/>
          <w:b/>
        </w:rPr>
      </w:pPr>
      <w:r w:rsidRPr="00F9213C">
        <w:rPr>
          <w:rFonts w:ascii="Times New Roman" w:hAnsi="Times New Roman" w:cs="Times New Roman"/>
          <w:b/>
        </w:rPr>
        <w:t xml:space="preserve">5. </w:t>
      </w:r>
      <w:r w:rsidR="00F37187" w:rsidRPr="00F9213C">
        <w:rPr>
          <w:rFonts w:ascii="Times New Roman" w:hAnsi="Times New Roman" w:cs="Times New Roman"/>
          <w:b/>
        </w:rPr>
        <w:t>Duration and Degree</w:t>
      </w:r>
    </w:p>
    <w:p w:rsidR="00F37187" w:rsidRPr="00F37187" w:rsidRDefault="00F37187" w:rsidP="00F37187">
      <w:pPr>
        <w:spacing w:after="0" w:line="360" w:lineRule="auto"/>
        <w:ind w:firstLineChars="200" w:firstLine="480"/>
        <w:jc w:val="both"/>
        <w:rPr>
          <w:rStyle w:val="font11"/>
          <w:rFonts w:ascii="Times New Roman" w:hAnsi="Times New Roman" w:cs="Times New Roman"/>
          <w:b w:val="0"/>
          <w:color w:val="000000"/>
          <w:sz w:val="24"/>
        </w:rPr>
      </w:pPr>
      <w:r w:rsidRPr="00F37187">
        <w:rPr>
          <w:rStyle w:val="font11"/>
          <w:rFonts w:ascii="Times New Roman" w:hAnsi="Times New Roman" w:cs="Times New Roman"/>
          <w:b w:val="0"/>
          <w:bCs w:val="0"/>
          <w:color w:val="000000"/>
          <w:sz w:val="24"/>
          <w:lang w:val="en-US"/>
        </w:rPr>
        <w:t>The school system is four years, and the flexible school system is three to eight years. Bachelor of Engineering is awarded.</w:t>
      </w:r>
    </w:p>
    <w:p w:rsidR="00F37187" w:rsidRPr="00F9213C" w:rsidRDefault="00F9213C" w:rsidP="00F9213C">
      <w:pPr>
        <w:spacing w:before="120" w:after="120" w:line="360" w:lineRule="auto"/>
        <w:jc w:val="both"/>
        <w:rPr>
          <w:rFonts w:ascii="Times New Roman" w:hAnsi="Times New Roman" w:cs="Times New Roman"/>
          <w:b/>
        </w:rPr>
      </w:pPr>
      <w:r w:rsidRPr="00F9213C">
        <w:rPr>
          <w:rFonts w:ascii="Times New Roman" w:hAnsi="Times New Roman" w:cs="Times New Roman" w:hint="eastAsia"/>
          <w:b/>
        </w:rPr>
        <w:t>6</w:t>
      </w:r>
      <w:r w:rsidRPr="00F9213C">
        <w:rPr>
          <w:rFonts w:ascii="Times New Roman" w:hAnsi="Times New Roman" w:cs="Times New Roman"/>
          <w:b/>
        </w:rPr>
        <w:t xml:space="preserve">. </w:t>
      </w:r>
      <w:r w:rsidR="00F37187" w:rsidRPr="00F9213C">
        <w:rPr>
          <w:rFonts w:ascii="Times New Roman" w:hAnsi="Times New Roman" w:cs="Times New Roman"/>
          <w:b/>
        </w:rPr>
        <w:t>Minimum Required Credits for Graduation</w:t>
      </w:r>
    </w:p>
    <w:p w:rsidR="00F37187" w:rsidRPr="00F37187" w:rsidRDefault="00F37187" w:rsidP="00F37187">
      <w:pPr>
        <w:spacing w:after="0" w:line="360" w:lineRule="auto"/>
        <w:ind w:firstLineChars="200" w:firstLine="480"/>
        <w:jc w:val="both"/>
        <w:rPr>
          <w:rStyle w:val="font11"/>
          <w:rFonts w:ascii="Times New Roman" w:hAnsi="Times New Roman" w:cs="Times New Roman"/>
          <w:b w:val="0"/>
          <w:color w:val="000000"/>
          <w:sz w:val="24"/>
        </w:rPr>
      </w:pPr>
      <w:r w:rsidRPr="00F37187">
        <w:rPr>
          <w:rStyle w:val="font11"/>
          <w:rFonts w:ascii="Times New Roman" w:hAnsi="Times New Roman" w:cs="Times New Roman"/>
          <w:b w:val="0"/>
          <w:bCs w:val="0"/>
          <w:color w:val="000000"/>
          <w:sz w:val="24"/>
          <w:lang w:val="en-US"/>
        </w:rPr>
        <w:t>The minimum credits for graduation are 176 credits.</w:t>
      </w:r>
    </w:p>
    <w:p w:rsidR="00F37187" w:rsidRDefault="00F9213C" w:rsidP="00F9213C">
      <w:pPr>
        <w:spacing w:before="120" w:after="120" w:line="360" w:lineRule="auto"/>
        <w:jc w:val="both"/>
        <w:rPr>
          <w:rFonts w:ascii="Times New Roman" w:hAnsi="Times New Roman" w:cs="Times New Roman"/>
          <w:b/>
        </w:rPr>
      </w:pPr>
      <w:r w:rsidRPr="00F9213C">
        <w:rPr>
          <w:rFonts w:ascii="Times New Roman" w:hAnsi="Times New Roman" w:cs="Times New Roman" w:hint="eastAsia"/>
          <w:b/>
        </w:rPr>
        <w:lastRenderedPageBreak/>
        <w:t>7</w:t>
      </w:r>
      <w:r w:rsidRPr="00F9213C">
        <w:rPr>
          <w:rFonts w:ascii="Times New Roman" w:hAnsi="Times New Roman" w:cs="Times New Roman"/>
          <w:b/>
        </w:rPr>
        <w:t xml:space="preserve">. </w:t>
      </w:r>
      <w:r w:rsidR="00F37187" w:rsidRPr="00F9213C">
        <w:rPr>
          <w:rFonts w:ascii="Times New Roman" w:hAnsi="Times New Roman" w:cs="Times New Roman"/>
          <w:b/>
        </w:rPr>
        <w:t>Distribution Sheet for Credits and Hours</w:t>
      </w:r>
    </w:p>
    <w:p w:rsidR="00F9213C" w:rsidRDefault="00F9213C" w:rsidP="00F9213C">
      <w:pPr>
        <w:spacing w:before="120" w:after="120" w:line="360" w:lineRule="auto"/>
        <w:jc w:val="both"/>
        <w:rPr>
          <w:rFonts w:ascii="Times New Roman" w:hAnsi="Times New Roman" w:cs="Times New Roman"/>
          <w:b/>
        </w:rPr>
      </w:pPr>
    </w:p>
    <w:p w:rsidR="00F9213C" w:rsidRPr="00F9213C" w:rsidRDefault="00F9213C" w:rsidP="00F9213C">
      <w:pPr>
        <w:spacing w:before="120" w:after="120" w:line="360" w:lineRule="auto"/>
        <w:jc w:val="both"/>
        <w:rPr>
          <w:rFonts w:ascii="Times New Roman" w:hAnsi="Times New Roman" w:cs="Times New Roman"/>
          <w:b/>
        </w:rPr>
      </w:pPr>
    </w:p>
    <w:tbl>
      <w:tblPr>
        <w:tblW w:w="8359" w:type="dxa"/>
        <w:tblInd w:w="113" w:type="dxa"/>
        <w:tblLook w:val="04A0" w:firstRow="1" w:lastRow="0" w:firstColumn="1" w:lastColumn="0" w:noHBand="0" w:noVBand="1"/>
      </w:tblPr>
      <w:tblGrid>
        <w:gridCol w:w="1417"/>
        <w:gridCol w:w="912"/>
        <w:gridCol w:w="785"/>
        <w:gridCol w:w="863"/>
        <w:gridCol w:w="1167"/>
        <w:gridCol w:w="1049"/>
        <w:gridCol w:w="1167"/>
        <w:gridCol w:w="1049"/>
      </w:tblGrid>
      <w:tr w:rsidR="00F37187" w:rsidRPr="00F37187" w:rsidTr="00C87A2E">
        <w:trPr>
          <w:trHeight w:val="375"/>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category</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credit</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Hours or weeks</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Percentage of credits</w:t>
            </w:r>
          </w:p>
        </w:tc>
      </w:tr>
      <w:tr w:rsidR="00F37187" w:rsidRPr="00F37187" w:rsidTr="00C87A2E">
        <w:trPr>
          <w:trHeight w:val="435"/>
        </w:trPr>
        <w:tc>
          <w:tcPr>
            <w:tcW w:w="1555" w:type="dxa"/>
            <w:vMerge/>
            <w:tcBorders>
              <w:top w:val="single" w:sz="4" w:space="0" w:color="auto"/>
              <w:left w:val="single" w:sz="4" w:space="0" w:color="auto"/>
              <w:bottom w:val="single" w:sz="4" w:space="0" w:color="000000"/>
              <w:right w:val="single" w:sz="4" w:space="0" w:color="auto"/>
            </w:tcBorders>
            <w:vAlign w:val="center"/>
          </w:tcPr>
          <w:p w:rsidR="00F37187" w:rsidRPr="00F37187" w:rsidRDefault="00F37187" w:rsidP="00F37187">
            <w:pPr>
              <w:spacing w:after="0" w:line="360" w:lineRule="auto"/>
              <w:jc w:val="both"/>
              <w:rPr>
                <w:rFonts w:ascii="Times New Roman" w:hAnsi="Times New Roman" w:cs="Times New Roman"/>
                <w:szCs w:val="21"/>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F37187" w:rsidRPr="00F37187" w:rsidRDefault="00F37187" w:rsidP="00F37187">
            <w:pPr>
              <w:spacing w:after="0" w:line="360" w:lineRule="auto"/>
              <w:jc w:val="both"/>
              <w:rPr>
                <w:rFonts w:ascii="Times New Roman" w:hAnsi="Times New Roman" w:cs="Times New Roman"/>
                <w:szCs w:val="21"/>
              </w:rPr>
            </w:pP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Class hours</w:t>
            </w: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Number of weeks</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Required course credits</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proportion</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Credits of elective courses</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proportion</w:t>
            </w:r>
          </w:p>
        </w:tc>
      </w:tr>
      <w:tr w:rsidR="00F37187" w:rsidRPr="00F37187" w:rsidTr="00C87A2E">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eastAsia="仿宋" w:hAnsi="Times New Roman" w:cs="Times New Roman"/>
                <w:szCs w:val="21"/>
              </w:rPr>
              <w:t>General education course</w:t>
            </w:r>
          </w:p>
        </w:tc>
        <w:tc>
          <w:tcPr>
            <w:tcW w:w="992"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62.5</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1338</w:t>
            </w: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56.5</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90%</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6</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10%</w:t>
            </w:r>
          </w:p>
        </w:tc>
      </w:tr>
      <w:tr w:rsidR="00F37187" w:rsidRPr="00F37187" w:rsidTr="00C87A2E">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eastAsia="仿宋" w:hAnsi="Times New Roman" w:cs="Times New Roman"/>
                <w:szCs w:val="21"/>
              </w:rPr>
              <w:t>Major basic courses</w:t>
            </w:r>
          </w:p>
        </w:tc>
        <w:tc>
          <w:tcPr>
            <w:tcW w:w="992"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37.5</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624</w:t>
            </w: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37.5</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100%</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0</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0</w:t>
            </w:r>
          </w:p>
        </w:tc>
      </w:tr>
      <w:tr w:rsidR="00F37187" w:rsidRPr="00F37187" w:rsidTr="00C87A2E">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eastAsia="仿宋" w:hAnsi="Times New Roman" w:cs="Times New Roman"/>
                <w:szCs w:val="21"/>
              </w:rPr>
              <w:t>Professional courses</w:t>
            </w:r>
          </w:p>
        </w:tc>
        <w:tc>
          <w:tcPr>
            <w:tcW w:w="992"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20</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336</w:t>
            </w: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14</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70%</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6</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30%</w:t>
            </w:r>
          </w:p>
        </w:tc>
      </w:tr>
      <w:tr w:rsidR="00F37187" w:rsidRPr="00F37187" w:rsidTr="00C87A2E">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eastAsia="仿宋" w:hAnsi="Times New Roman" w:cs="Times New Roman"/>
                <w:szCs w:val="21"/>
              </w:rPr>
              <w:t>Independent research</w:t>
            </w:r>
          </w:p>
        </w:tc>
        <w:tc>
          <w:tcPr>
            <w:tcW w:w="992"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15</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240</w:t>
            </w: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15</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100%</w:t>
            </w:r>
          </w:p>
        </w:tc>
      </w:tr>
      <w:tr w:rsidR="00F37187" w:rsidRPr="00F37187" w:rsidTr="00C87A2E">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eastAsia="仿宋" w:hAnsi="Times New Roman" w:cs="Times New Roman"/>
                <w:szCs w:val="21"/>
              </w:rPr>
            </w:pPr>
            <w:r w:rsidRPr="00F37187">
              <w:rPr>
                <w:rFonts w:ascii="Times New Roman" w:eastAsia="仿宋" w:hAnsi="Times New Roman" w:cs="Times New Roman"/>
                <w:szCs w:val="21"/>
                <w:lang w:val="en-US"/>
              </w:rPr>
              <w:t>q</w:t>
            </w:r>
            <w:r w:rsidRPr="00F37187">
              <w:rPr>
                <w:rFonts w:ascii="Times New Roman" w:eastAsia="仿宋" w:hAnsi="Times New Roman" w:cs="Times New Roman"/>
                <w:szCs w:val="21"/>
              </w:rPr>
              <w:t>uality development</w:t>
            </w:r>
          </w:p>
        </w:tc>
        <w:tc>
          <w:tcPr>
            <w:tcW w:w="992"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6</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6</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100%</w:t>
            </w:r>
          </w:p>
        </w:tc>
      </w:tr>
      <w:tr w:rsidR="00F37187" w:rsidRPr="00F37187" w:rsidTr="00C87A2E">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eastAsia="仿宋" w:hAnsi="Times New Roman" w:cs="Times New Roman"/>
                <w:szCs w:val="21"/>
              </w:rPr>
              <w:t>practice</w:t>
            </w:r>
          </w:p>
        </w:tc>
        <w:tc>
          <w:tcPr>
            <w:tcW w:w="992"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37</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37</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37</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100%</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 xml:space="preserve">　</w:t>
            </w:r>
          </w:p>
        </w:tc>
      </w:tr>
      <w:tr w:rsidR="00F37187" w:rsidRPr="00F37187" w:rsidTr="00C87A2E">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eastAsia="仿宋" w:hAnsi="Times New Roman" w:cs="Times New Roman"/>
                <w:szCs w:val="21"/>
              </w:rPr>
              <w:t>total</w:t>
            </w:r>
          </w:p>
        </w:tc>
        <w:tc>
          <w:tcPr>
            <w:tcW w:w="992"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176</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2506</w:t>
            </w:r>
          </w:p>
        </w:tc>
        <w:tc>
          <w:tcPr>
            <w:tcW w:w="709"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145</w:t>
            </w:r>
          </w:p>
        </w:tc>
        <w:tc>
          <w:tcPr>
            <w:tcW w:w="850"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82%</w:t>
            </w:r>
          </w:p>
        </w:tc>
        <w:tc>
          <w:tcPr>
            <w:tcW w:w="1276"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21</w:t>
            </w:r>
          </w:p>
        </w:tc>
        <w:tc>
          <w:tcPr>
            <w:tcW w:w="851" w:type="dxa"/>
            <w:tcBorders>
              <w:top w:val="nil"/>
              <w:left w:val="nil"/>
              <w:bottom w:val="single" w:sz="4" w:space="0" w:color="auto"/>
              <w:right w:val="single" w:sz="4" w:space="0" w:color="auto"/>
            </w:tcBorders>
            <w:shd w:val="clear" w:color="auto" w:fill="auto"/>
            <w:noWrap/>
            <w:vAlign w:val="center"/>
          </w:tcPr>
          <w:p w:rsidR="00F37187" w:rsidRPr="00F37187" w:rsidRDefault="00F37187" w:rsidP="00F37187">
            <w:pPr>
              <w:spacing w:after="0" w:line="360" w:lineRule="auto"/>
              <w:jc w:val="both"/>
              <w:rPr>
                <w:rFonts w:ascii="Times New Roman" w:hAnsi="Times New Roman" w:cs="Times New Roman"/>
                <w:szCs w:val="21"/>
              </w:rPr>
            </w:pPr>
            <w:r w:rsidRPr="00F37187">
              <w:rPr>
                <w:rFonts w:ascii="Times New Roman" w:hAnsi="Times New Roman" w:cs="Times New Roman"/>
                <w:szCs w:val="21"/>
              </w:rPr>
              <w:t>18%</w:t>
            </w:r>
          </w:p>
        </w:tc>
      </w:tr>
    </w:tbl>
    <w:p w:rsidR="00F37187" w:rsidRPr="00F37187" w:rsidRDefault="00F37187" w:rsidP="00F37187">
      <w:pPr>
        <w:spacing w:after="0" w:line="360" w:lineRule="auto"/>
        <w:jc w:val="both"/>
        <w:rPr>
          <w:rStyle w:val="font11"/>
          <w:rFonts w:ascii="Times New Roman" w:hAnsi="Times New Roman" w:cs="Times New Roman"/>
          <w:b w:val="0"/>
          <w:bCs w:val="0"/>
          <w:color w:val="000000"/>
          <w:sz w:val="24"/>
        </w:rPr>
      </w:pPr>
    </w:p>
    <w:p w:rsidR="00F37187" w:rsidRPr="00F9213C" w:rsidRDefault="00F9213C" w:rsidP="00F9213C">
      <w:pPr>
        <w:spacing w:before="120" w:after="120" w:line="360" w:lineRule="auto"/>
        <w:jc w:val="both"/>
        <w:rPr>
          <w:rFonts w:ascii="Times New Roman" w:hAnsi="Times New Roman" w:cs="Times New Roman"/>
          <w:b/>
        </w:rPr>
      </w:pPr>
      <w:r w:rsidRPr="00F9213C">
        <w:rPr>
          <w:rFonts w:ascii="Times New Roman" w:hAnsi="Times New Roman" w:cs="Times New Roman" w:hint="eastAsia"/>
          <w:b/>
        </w:rPr>
        <w:t>8</w:t>
      </w:r>
      <w:r w:rsidRPr="00F9213C">
        <w:rPr>
          <w:rFonts w:ascii="Times New Roman" w:hAnsi="Times New Roman" w:cs="Times New Roman"/>
          <w:b/>
        </w:rPr>
        <w:t xml:space="preserve">. </w:t>
      </w:r>
      <w:r w:rsidR="00F37187" w:rsidRPr="00F9213C">
        <w:rPr>
          <w:rFonts w:ascii="Times New Roman" w:hAnsi="Times New Roman" w:cs="Times New Roman"/>
          <w:b/>
        </w:rPr>
        <w:t>Other instructions</w:t>
      </w:r>
    </w:p>
    <w:p w:rsidR="00F37187" w:rsidRPr="00F37187" w:rsidRDefault="00F37187" w:rsidP="00F37187">
      <w:pPr>
        <w:spacing w:after="0" w:line="360" w:lineRule="auto"/>
        <w:ind w:firstLineChars="200" w:firstLine="480"/>
        <w:jc w:val="both"/>
        <w:rPr>
          <w:rStyle w:val="font11"/>
          <w:rFonts w:ascii="Times New Roman" w:hAnsi="Times New Roman" w:cs="Times New Roman"/>
          <w:b w:val="0"/>
          <w:color w:val="000000"/>
          <w:sz w:val="24"/>
        </w:rPr>
      </w:pPr>
      <w:r w:rsidRPr="00F37187">
        <w:rPr>
          <w:rStyle w:val="font11"/>
          <w:rFonts w:ascii="Times New Roman" w:hAnsi="Times New Roman" w:cs="Times New Roman"/>
          <w:b w:val="0"/>
          <w:bCs w:val="0"/>
          <w:color w:val="000000"/>
          <w:sz w:val="24"/>
          <w:lang w:val="en-US"/>
        </w:rPr>
        <w:t>1. Each student must complete 15 credits of independent research during their studies, including 9 credits for advanced professional courses, 4 credits for interdisciplinary courses, and 2 credits for advanced Chinese courses. Among them, interdisciplinary courses can be selected from the professional courses of other majors or other interdisciplinary majors.</w:t>
      </w:r>
    </w:p>
    <w:p w:rsidR="00F37187" w:rsidRPr="00F37187" w:rsidRDefault="00F37187" w:rsidP="00F37187">
      <w:pPr>
        <w:spacing w:after="0" w:line="360" w:lineRule="auto"/>
        <w:ind w:firstLineChars="200" w:firstLine="480"/>
        <w:jc w:val="both"/>
        <w:rPr>
          <w:rStyle w:val="font11"/>
          <w:rFonts w:ascii="Times New Roman" w:hAnsi="Times New Roman" w:cs="Times New Roman"/>
          <w:b w:val="0"/>
          <w:color w:val="000000"/>
          <w:sz w:val="24"/>
        </w:rPr>
      </w:pPr>
      <w:r w:rsidRPr="00F37187">
        <w:rPr>
          <w:rStyle w:val="font11"/>
          <w:rFonts w:ascii="Times New Roman" w:hAnsi="Times New Roman" w:cs="Times New Roman"/>
          <w:b w:val="0"/>
          <w:bCs w:val="0"/>
          <w:color w:val="000000"/>
          <w:sz w:val="24"/>
          <w:lang w:val="en-US"/>
        </w:rPr>
        <w:t>2. During the period of school, each student must complete six quality development credits, which mainly cover four aspects: academic research, salon and community activities, social practice and voluntary public service, scientific research and innovation competition, and innovative curriculum. For the specific ways to obtain credits, please refer to the "quality development credit identification method for mechanical and power undergraduates in Jiangsu University".</w:t>
      </w:r>
    </w:p>
    <w:p w:rsidR="00F37187" w:rsidRPr="00F37187" w:rsidRDefault="00F37187" w:rsidP="00F37187">
      <w:pPr>
        <w:spacing w:after="0" w:line="360" w:lineRule="auto"/>
        <w:ind w:firstLineChars="200" w:firstLine="480"/>
        <w:jc w:val="both"/>
        <w:rPr>
          <w:rStyle w:val="font11"/>
          <w:rFonts w:ascii="Times New Roman" w:hAnsi="Times New Roman" w:cs="Times New Roman"/>
          <w:b w:val="0"/>
          <w:color w:val="000000"/>
          <w:sz w:val="24"/>
        </w:rPr>
      </w:pPr>
      <w:r w:rsidRPr="00F37187">
        <w:rPr>
          <w:rStyle w:val="font11"/>
          <w:rFonts w:ascii="Times New Roman" w:hAnsi="Times New Roman" w:cs="Times New Roman"/>
          <w:b w:val="0"/>
          <w:bCs w:val="0"/>
          <w:color w:val="000000"/>
          <w:sz w:val="24"/>
          <w:lang w:val="en-US"/>
        </w:rPr>
        <w:lastRenderedPageBreak/>
        <w:t>3. This major actively reforms teaching methods, classroom organization and assessment methods, and sets up MOOC, SPOC, PBL and Cbl inquiry courses and other new teaching mode courses. See the course list for details.</w:t>
      </w:r>
    </w:p>
    <w:p w:rsidR="00605DB8" w:rsidRDefault="00605DB8" w:rsidP="00F37187">
      <w:pPr>
        <w:spacing w:after="0" w:line="360" w:lineRule="auto"/>
        <w:jc w:val="both"/>
        <w:rPr>
          <w:rFonts w:ascii="Times New Roman" w:hAnsi="Times New Roman" w:cs="Times New Roman"/>
        </w:rPr>
        <w:sectPr w:rsidR="00605DB8">
          <w:pgSz w:w="11906" w:h="16838"/>
          <w:pgMar w:top="1440" w:right="1800" w:bottom="1440" w:left="1800" w:header="708" w:footer="708" w:gutter="0"/>
          <w:cols w:space="708"/>
          <w:docGrid w:linePitch="360"/>
        </w:sectPr>
      </w:pPr>
      <w:r>
        <w:rPr>
          <w:rFonts w:ascii="Times New Roman" w:hAnsi="Times New Roman" w:cs="Times New Roman"/>
        </w:rPr>
        <w:br w:type="page"/>
      </w:r>
      <w:bookmarkStart w:id="0" w:name="_GoBack"/>
      <w:bookmarkEnd w:id="0"/>
    </w:p>
    <w:p w:rsidR="0043352E" w:rsidRPr="007415B4" w:rsidRDefault="0043352E" w:rsidP="007415B4">
      <w:pPr>
        <w:rPr>
          <w:sz w:val="24"/>
        </w:rPr>
      </w:pPr>
    </w:p>
    <w:sectPr w:rsidR="0043352E" w:rsidRPr="007415B4" w:rsidSect="00605DB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AC" w:rsidRDefault="000521AC" w:rsidP="002B432E">
      <w:pPr>
        <w:spacing w:after="0" w:line="240" w:lineRule="auto"/>
      </w:pPr>
      <w:r>
        <w:separator/>
      </w:r>
    </w:p>
  </w:endnote>
  <w:endnote w:type="continuationSeparator" w:id="0">
    <w:p w:rsidR="000521AC" w:rsidRDefault="000521AC" w:rsidP="002B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AC" w:rsidRDefault="000521AC" w:rsidP="002B432E">
      <w:pPr>
        <w:spacing w:after="0" w:line="240" w:lineRule="auto"/>
      </w:pPr>
      <w:r>
        <w:separator/>
      </w:r>
    </w:p>
  </w:footnote>
  <w:footnote w:type="continuationSeparator" w:id="0">
    <w:p w:rsidR="000521AC" w:rsidRDefault="000521AC" w:rsidP="002B4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0DC41"/>
    <w:multiLevelType w:val="singleLevel"/>
    <w:tmpl w:val="A740DC41"/>
    <w:lvl w:ilvl="0">
      <w:start w:val="1"/>
      <w:numFmt w:val="decimal"/>
      <w:suff w:val="space"/>
      <w:lvlText w:val="%1."/>
      <w:lvlJc w:val="left"/>
    </w:lvl>
  </w:abstractNum>
  <w:abstractNum w:abstractNumId="1">
    <w:nsid w:val="EAA9D976"/>
    <w:multiLevelType w:val="singleLevel"/>
    <w:tmpl w:val="EAA9D976"/>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79"/>
    <w:rsid w:val="000521AC"/>
    <w:rsid w:val="00222079"/>
    <w:rsid w:val="002B432E"/>
    <w:rsid w:val="002E4C58"/>
    <w:rsid w:val="0043352E"/>
    <w:rsid w:val="00446970"/>
    <w:rsid w:val="005F51F8"/>
    <w:rsid w:val="00605DB8"/>
    <w:rsid w:val="007415B4"/>
    <w:rsid w:val="008A30F8"/>
    <w:rsid w:val="00A93554"/>
    <w:rsid w:val="00D64F3D"/>
    <w:rsid w:val="00D6546A"/>
    <w:rsid w:val="00F37187"/>
    <w:rsid w:val="00F921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32E"/>
    <w:pPr>
      <w:tabs>
        <w:tab w:val="center" w:pos="4153"/>
        <w:tab w:val="right" w:pos="8306"/>
      </w:tabs>
      <w:spacing w:after="0" w:line="240" w:lineRule="auto"/>
    </w:pPr>
  </w:style>
  <w:style w:type="character" w:customStyle="1" w:styleId="Char">
    <w:name w:val="页眉 Char"/>
    <w:basedOn w:val="a0"/>
    <w:link w:val="a3"/>
    <w:uiPriority w:val="99"/>
    <w:rsid w:val="002B432E"/>
  </w:style>
  <w:style w:type="paragraph" w:styleId="a4">
    <w:name w:val="footer"/>
    <w:basedOn w:val="a"/>
    <w:link w:val="Char0"/>
    <w:uiPriority w:val="99"/>
    <w:unhideWhenUsed/>
    <w:rsid w:val="002B432E"/>
    <w:pPr>
      <w:tabs>
        <w:tab w:val="center" w:pos="4153"/>
        <w:tab w:val="right" w:pos="8306"/>
      </w:tabs>
      <w:spacing w:after="0" w:line="240" w:lineRule="auto"/>
    </w:pPr>
  </w:style>
  <w:style w:type="character" w:customStyle="1" w:styleId="Char0">
    <w:name w:val="页脚 Char"/>
    <w:basedOn w:val="a0"/>
    <w:link w:val="a4"/>
    <w:uiPriority w:val="99"/>
    <w:rsid w:val="002B432E"/>
  </w:style>
  <w:style w:type="character" w:customStyle="1" w:styleId="font11">
    <w:name w:val="font11"/>
    <w:qFormat/>
    <w:rsid w:val="002B432E"/>
    <w:rPr>
      <w:b/>
      <w:bCs/>
      <w:color w:val="00008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32E"/>
    <w:pPr>
      <w:tabs>
        <w:tab w:val="center" w:pos="4153"/>
        <w:tab w:val="right" w:pos="8306"/>
      </w:tabs>
      <w:spacing w:after="0" w:line="240" w:lineRule="auto"/>
    </w:pPr>
  </w:style>
  <w:style w:type="character" w:customStyle="1" w:styleId="Char">
    <w:name w:val="页眉 Char"/>
    <w:basedOn w:val="a0"/>
    <w:link w:val="a3"/>
    <w:uiPriority w:val="99"/>
    <w:rsid w:val="002B432E"/>
  </w:style>
  <w:style w:type="paragraph" w:styleId="a4">
    <w:name w:val="footer"/>
    <w:basedOn w:val="a"/>
    <w:link w:val="Char0"/>
    <w:uiPriority w:val="99"/>
    <w:unhideWhenUsed/>
    <w:rsid w:val="002B432E"/>
    <w:pPr>
      <w:tabs>
        <w:tab w:val="center" w:pos="4153"/>
        <w:tab w:val="right" w:pos="8306"/>
      </w:tabs>
      <w:spacing w:after="0" w:line="240" w:lineRule="auto"/>
    </w:pPr>
  </w:style>
  <w:style w:type="character" w:customStyle="1" w:styleId="Char0">
    <w:name w:val="页脚 Char"/>
    <w:basedOn w:val="a0"/>
    <w:link w:val="a4"/>
    <w:uiPriority w:val="99"/>
    <w:rsid w:val="002B432E"/>
  </w:style>
  <w:style w:type="character" w:customStyle="1" w:styleId="font11">
    <w:name w:val="font11"/>
    <w:qFormat/>
    <w:rsid w:val="002B432E"/>
    <w:rPr>
      <w:b/>
      <w:bCs/>
      <w:color w:val="00008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1285</Words>
  <Characters>7330</Characters>
  <Application>Microsoft Office Word</Application>
  <DocSecurity>0</DocSecurity>
  <Lines>61</Lines>
  <Paragraphs>17</Paragraphs>
  <ScaleCrop>false</ScaleCrop>
  <Company>Microsoft</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2021-06-09T08:14:00Z</dcterms:created>
  <dcterms:modified xsi:type="dcterms:W3CDTF">2021-06-09T08:14:00Z</dcterms:modified>
</cp:coreProperties>
</file>